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CE" w:rsidRDefault="00B207CE" w:rsidP="008D49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20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Amministratore di sostegno:</w:t>
      </w:r>
    </w:p>
    <w:p w:rsidR="00B207CE" w:rsidRPr="00B207CE" w:rsidRDefault="008D49F0" w:rsidP="008D49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applicazione e </w:t>
      </w:r>
      <w:r w:rsidR="00B207CE" w:rsidRPr="00B20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funzioni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.</w:t>
      </w:r>
    </w:p>
    <w:p w:rsidR="008D49F0" w:rsidRDefault="008D49F0" w:rsidP="008D49F0">
      <w:pPr>
        <w:pStyle w:val="Titolo3"/>
      </w:pPr>
      <w:r>
        <w:t>Legislazione</w:t>
      </w:r>
    </w:p>
    <w:p w:rsidR="008D49F0" w:rsidRPr="008D49F0" w:rsidRDefault="008D49F0" w:rsidP="00B207CE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Il link si aprirà in una nuova finestra" w:history="1">
        <w:r>
          <w:rPr>
            <w:rStyle w:val="Collegamentoipertestuale"/>
          </w:rPr>
          <w:t xml:space="preserve">L. 6/2004 - Introduzione nel libro primo, titolo XII, del codice civile del capo I, relativo all'istituzione dell'amministrazione di sostegno e modifica degli articoli 388, 414, 417, 418, 424, 426, 427 e 429 del codice civile in materia di interdizioni e di inabilitazione . </w:t>
        </w:r>
      </w:hyperlink>
    </w:p>
    <w:p w:rsidR="008D49F0" w:rsidRPr="00B207CE" w:rsidRDefault="008D49F0" w:rsidP="00B2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07CE" w:rsidRPr="008D49F0" w:rsidRDefault="00B207CE" w:rsidP="008D49F0">
      <w:pPr>
        <w:shd w:val="clear" w:color="auto" w:fill="F2EAE4"/>
        <w:spacing w:after="0" w:line="240" w:lineRule="auto"/>
        <w:ind w:left="709" w:right="991"/>
        <w:jc w:val="both"/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  <w:t>L'amministratore di sostegno tutela chi, per effetto di un’infermità o di una menomazione psico-fisica</w:t>
      </w:r>
      <w:r w:rsidR="008D49F0" w:rsidRPr="008D49F0"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  <w:t xml:space="preserve"> ( patologie conclamate  e suffragate da documentazione sanitaria)</w:t>
      </w:r>
      <w:r w:rsidRPr="008D49F0"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  <w:t>, si trova nell’impossibilità di provvedere “AUTONOMAMENTE”  ai propri bisogni</w:t>
      </w:r>
      <w:r w:rsidR="008D49F0" w:rsidRPr="008D49F0"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  <w:t>.</w:t>
      </w:r>
    </w:p>
    <w:p w:rsidR="008D49F0" w:rsidRPr="008D49F0" w:rsidRDefault="008D49F0" w:rsidP="008D49F0">
      <w:pPr>
        <w:shd w:val="clear" w:color="auto" w:fill="F2EAE4"/>
        <w:spacing w:after="0" w:line="240" w:lineRule="auto"/>
        <w:ind w:left="709" w:right="991"/>
        <w:jc w:val="both"/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b/>
          <w:bCs/>
          <w:color w:val="452B1E"/>
          <w:sz w:val="24"/>
          <w:szCs w:val="24"/>
          <w:lang w:eastAsia="it-IT"/>
        </w:rPr>
        <w:t xml:space="preserve">L’applicazione di tale istituto giuridico vede, nella maggior parte dei casi, beneficiari persone anziane e malati psichiatrici.  </w:t>
      </w:r>
    </w:p>
    <w:p w:rsidR="00B207CE" w:rsidRPr="008D49F0" w:rsidRDefault="00B207CE" w:rsidP="008D49F0">
      <w:pPr>
        <w:spacing w:after="0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8D49F0">
      <w:pPr>
        <w:spacing w:after="0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A92968">
      <w:pPr>
        <w:spacing w:after="0" w:line="240" w:lineRule="auto"/>
        <w:ind w:left="709" w:right="991"/>
        <w:jc w:val="center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hAnsi="Nyala"/>
          <w:noProof/>
          <w:lang w:eastAsia="it-IT"/>
        </w:rPr>
        <w:drawing>
          <wp:inline distT="0" distB="0" distL="0" distR="0">
            <wp:extent cx="3600000" cy="2406000"/>
            <wp:effectExtent l="19050" t="0" r="450" b="0"/>
            <wp:docPr id="28" name="Immagine 28" descr="Istat: un bambino ogni cinque anziani. Campania regione più gio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stat: un bambino ogni cinque anziani. Campania regione più giova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CE" w:rsidRPr="008D49F0" w:rsidRDefault="00B207CE" w:rsidP="008D49F0">
      <w:pPr>
        <w:spacing w:after="0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8D49F0">
      <w:pPr>
        <w:spacing w:after="0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La persona che, per effetto di una infermità ovvero di una menomazione fisica o psichica, si trova nella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impossibilità, anche parziale o temporanea, di provvedere ai propri interessi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, può essere assistita da un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amministratore di sostegno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, nominato dal giudice tutelare del luogo in cui questa ha la residenza o il domicilio.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Gli anziani e i disabili, ma anche gli alcolisti, i tossicodipendenti, le persone detenute, i malati terminali</w:t>
      </w:r>
      <w:r w:rsid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(persona “fragili”)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possono ottenere, anche in previsione di una propria event</w:t>
      </w:r>
      <w:r w:rsidR="008D49F0">
        <w:rPr>
          <w:rFonts w:ascii="Nyala" w:eastAsia="Times New Roman" w:hAnsi="Nyala" w:cs="Times New Roman"/>
          <w:sz w:val="24"/>
          <w:szCs w:val="24"/>
          <w:lang w:eastAsia="it-IT"/>
        </w:rPr>
        <w:t>uale futura incapacità, che il Giudice T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utelare nomini una persona che abbia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cura della loro persona e del loro patrimonio</w:t>
      </w:r>
      <w:r w:rsid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e svolga le funzioni di “ordinaria” amministrazione autonomamente in relazione al provvedimento di nomina e di “straordinaria” amministrazione previa autorizzazione del Magistrato. </w:t>
      </w:r>
    </w:p>
    <w:p w:rsidR="00A92968" w:rsidRDefault="00A92968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A92968" w:rsidRDefault="00A92968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A92968" w:rsidRDefault="00A92968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A92968" w:rsidRDefault="00A92968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Per richiedere l’amministrazione di sostegno si deve presentare un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ricorso</w:t>
      </w:r>
      <w:r w:rsidR="00A92968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 presso la cancelleria della Volontaria Giurisdizione dei Tribunali ove è sede di Giudice Tutelare.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.</w:t>
      </w:r>
    </w:p>
    <w:p w:rsidR="00B207CE" w:rsidRPr="008D49F0" w:rsidRDefault="00B207CE" w:rsidP="00A92968">
      <w:pPr>
        <w:spacing w:before="100" w:beforeAutospacing="1" w:after="100" w:afterAutospacing="1" w:line="240" w:lineRule="auto"/>
        <w:ind w:left="709" w:right="991"/>
        <w:jc w:val="center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hAnsi="Nyala"/>
          <w:noProof/>
          <w:lang w:eastAsia="it-IT"/>
        </w:rPr>
        <w:drawing>
          <wp:inline distT="0" distB="0" distL="0" distR="0">
            <wp:extent cx="3600000" cy="2398083"/>
            <wp:effectExtent l="19050" t="0" r="450" b="0"/>
            <wp:docPr id="33" name="Immagine 33" descr="Nonno e nipote al picnic in natura Foto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nno e nipote al picnic in natura Foto Gratu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CE" w:rsidRPr="008D49F0" w:rsidRDefault="00A92968" w:rsidP="00A92968">
      <w:pPr>
        <w:spacing w:after="0" w:line="240" w:lineRule="auto"/>
        <w:ind w:left="709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La procedura di ricorso  può essere promossa </w:t>
      </w:r>
      <w:r w:rsidR="00B207CE" w:rsidRPr="008D49F0">
        <w:rPr>
          <w:rFonts w:ascii="Nyala" w:eastAsia="Times New Roman" w:hAnsi="Nyala" w:cs="Times New Roman"/>
          <w:sz w:val="24"/>
          <w:szCs w:val="24"/>
          <w:lang w:eastAsia="it-IT"/>
        </w:rPr>
        <w:t>: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dallo stesso soggetto beneficiario</w:t>
      </w:r>
      <w:r w:rsidR="00A92968" w:rsidRPr="00A92968">
        <w:rPr>
          <w:rFonts w:ascii="Nyala" w:eastAsia="Times New Roman" w:hAnsi="Nyala" w:cs="Times New Roman"/>
          <w:sz w:val="24"/>
          <w:szCs w:val="24"/>
          <w:lang w:eastAsia="it-IT"/>
        </w:rPr>
        <w:t xml:space="preserve"> (</w:t>
      </w: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 xml:space="preserve"> minore, interdetto o inabilitato</w:t>
      </w:r>
      <w:r w:rsidR="00A92968" w:rsidRPr="00A92968">
        <w:rPr>
          <w:rFonts w:ascii="Nyala" w:eastAsia="Times New Roman" w:hAnsi="Nyala" w:cs="Times New Roman"/>
          <w:sz w:val="24"/>
          <w:szCs w:val="24"/>
          <w:lang w:eastAsia="it-IT"/>
        </w:rPr>
        <w:t>)</w:t>
      </w: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;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dal coniuge;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dalla persona stabilmente convivente,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dai parenti entro il quarto grado;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dagli affini entro il secondo grado;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dal tutore o curatore;</w:t>
      </w:r>
    </w:p>
    <w:p w:rsidR="00A92968" w:rsidRPr="00A92968" w:rsidRDefault="00A92968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dai servizi sociali  comunali;</w:t>
      </w:r>
    </w:p>
    <w:p w:rsidR="00A92968" w:rsidRPr="00A92968" w:rsidRDefault="00A92968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 xml:space="preserve">dai servizi sociali </w:t>
      </w: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della </w:t>
      </w: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struttura residenziale ove il futuro beneficiario è ricoverato;</w:t>
      </w:r>
    </w:p>
    <w:p w:rsidR="00B207CE" w:rsidRPr="00A92968" w:rsidRDefault="00B207CE" w:rsidP="00A92968">
      <w:pPr>
        <w:pStyle w:val="Paragrafoelenco"/>
        <w:numPr>
          <w:ilvl w:val="0"/>
          <w:numId w:val="8"/>
        </w:numPr>
        <w:spacing w:after="0" w:line="240" w:lineRule="auto"/>
        <w:ind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A92968">
        <w:rPr>
          <w:rFonts w:ascii="Nyala" w:eastAsia="Times New Roman" w:hAnsi="Nyala" w:cs="Times New Roman"/>
          <w:sz w:val="24"/>
          <w:szCs w:val="24"/>
          <w:lang w:eastAsia="it-IT"/>
        </w:rPr>
        <w:t>dal pubblico ministero.</w:t>
      </w:r>
    </w:p>
    <w:p w:rsidR="00A92968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br/>
        <w:t>I responsabili dei servizi sanitari e sociali direttamente impegnati nella cura e assistenza della persona, se sono a conoscenza di fatti tali da rendere opportuna l'apertura del procedimento di amministrazione di soste</w:t>
      </w:r>
      <w:r w:rsidR="00A92968">
        <w:rPr>
          <w:rFonts w:ascii="Nyala" w:eastAsia="Times New Roman" w:hAnsi="Nyala" w:cs="Times New Roman"/>
          <w:sz w:val="24"/>
          <w:szCs w:val="24"/>
          <w:lang w:eastAsia="it-IT"/>
        </w:rPr>
        <w:t>gno, sono tenuti a proporre al Giudice T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utelare il ricorso o a fornirne comunqu</w:t>
      </w:r>
      <w:r w:rsidR="00A92968">
        <w:rPr>
          <w:rFonts w:ascii="Nyala" w:eastAsia="Times New Roman" w:hAnsi="Nyala" w:cs="Times New Roman"/>
          <w:sz w:val="24"/>
          <w:szCs w:val="24"/>
          <w:lang w:eastAsia="it-IT"/>
        </w:rPr>
        <w:t>e notizia al pubblico ministero; nello specifico molti enti sanitari promuovono la procedura anche e soprattutto per la sottoscrizione di “consensi informati” atti  alla scelta di un percorso terapeutico.</w:t>
      </w:r>
    </w:p>
    <w:p w:rsidR="00B207CE" w:rsidRPr="008D49F0" w:rsidRDefault="00A92968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L’attuale pandemia </w:t>
      </w:r>
      <w:proofErr w:type="spellStart"/>
      <w:r>
        <w:rPr>
          <w:rFonts w:ascii="Nyala" w:eastAsia="Times New Roman" w:hAnsi="Nyala" w:cs="Times New Roman"/>
          <w:sz w:val="24"/>
          <w:szCs w:val="24"/>
          <w:lang w:eastAsia="it-IT"/>
        </w:rPr>
        <w:t>Covid</w:t>
      </w:r>
      <w:proofErr w:type="spellEnd"/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Nyala" w:eastAsia="Times New Roman" w:hAnsi="Nyala" w:cs="Times New Roman"/>
          <w:sz w:val="24"/>
          <w:szCs w:val="24"/>
          <w:lang w:eastAsia="it-IT"/>
        </w:rPr>
        <w:t>sars</w:t>
      </w:r>
      <w:proofErr w:type="spellEnd"/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-2 ha portato a un coinvolgimento di tale figura per la scelta della somministrazione del vaccino nelle varie dosi demandando all’ADS l’ultima parola, per la tutela del “bene salute”  . Il  dibattito instauratosi ha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portato molti  l’</w:t>
      </w:r>
      <w:proofErr w:type="spellStart"/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Ads</w:t>
      </w:r>
      <w:proofErr w:type="spellEnd"/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a presentare istanza al Giudice Tutelare  per la relativa autorizzazione, previa  documentazione sanitaria  che ne attestasse  l’utilità  e la compatibilità. </w:t>
      </w: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   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L’amministratore di sostegno viene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nomin</w:t>
      </w:r>
      <w:r w:rsidR="00150ABC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ato con un decreto del Giudice T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utelare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.</w:t>
      </w:r>
    </w:p>
    <w:p w:rsidR="00B207CE" w:rsidRPr="008D49F0" w:rsidRDefault="00B207CE" w:rsidP="00150ABC">
      <w:pPr>
        <w:spacing w:after="0" w:line="240" w:lineRule="auto"/>
        <w:ind w:left="709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Il decreto di nomina dell'amministratore di sostegno deve contenere l'indicazione: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•    delle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generalità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della persona beneficiaria e dell'amministratore di sostegno;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•    della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durata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dell'incarico, che può essere a tempo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determinato/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indeterminato;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dell'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oggetto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dell'incarico e degli atti che l'amministratore di sostegno ha il potere di compiere in nome e per conto del beneficiario;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•    degli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atti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che il beneficiario può compiere solo con l'assistenza dell'amministratore di sostegno;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lastRenderedPageBreak/>
        <w:t xml:space="preserve">•    dei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limiti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, anche periodici, delle spese che l'amministratore di sostegno può sostenere con utilizzo delle somme di cui il beneficiario ha o può avere la disponibilità;</w:t>
      </w:r>
    </w:p>
    <w:p w:rsidR="00B207CE" w:rsidRPr="008D49F0" w:rsidRDefault="00B207CE" w:rsidP="00150ABC">
      <w:pPr>
        <w:spacing w:after="0" w:line="240" w:lineRule="auto"/>
        <w:ind w:left="1276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•    della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periodicità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con cui l'amministratore di sostegno deve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riferire al G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iudice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Tutelare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circa l'attività svolta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,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le condizioni di vita personale e sociale del beneficiario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e la rendicontazione economico finanziaria.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</w:p>
    <w:p w:rsidR="00B207CE" w:rsidRPr="008D49F0" w:rsidRDefault="00B207CE" w:rsidP="00150ABC">
      <w:pPr>
        <w:spacing w:before="100" w:beforeAutospacing="1" w:after="100" w:afterAutospacing="1" w:line="240" w:lineRule="auto"/>
        <w:ind w:left="709" w:right="991"/>
        <w:jc w:val="center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hAnsi="Nyala"/>
          <w:noProof/>
          <w:lang w:eastAsia="it-IT"/>
        </w:rPr>
        <w:drawing>
          <wp:inline distT="0" distB="0" distL="0" distR="0">
            <wp:extent cx="3852862" cy="2657475"/>
            <wp:effectExtent l="19050" t="0" r="0" b="0"/>
            <wp:docPr id="36" name="Immagine 36" descr="Nonno e nipote a cinque anni — nipotino, bambino - Stock Photo | #16570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onno e nipote a cinque anni — nipotino, bambino - Stock Photo | #1657040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8" cy="265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La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scelta dell'amministratore di sostegno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avviene con esclusivo riguardo alla cura ed agli interessi della persona del beneficiario.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Nella scelta della persona da nominare 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quale  “a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mministratore di sostegno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”, il Giudice T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utelare 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coinvolge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, se possibile: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coniuge che non sia separato legalmente;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la persona stabilmente convivente;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padre, la madre;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figlio;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fratello o la sorella;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parente entro il quarto grado;</w:t>
      </w:r>
    </w:p>
    <w:p w:rsidR="00B207CE" w:rsidRPr="008D49F0" w:rsidRDefault="00B207CE" w:rsidP="00150ABC">
      <w:pPr>
        <w:spacing w:after="0" w:line="240" w:lineRule="auto"/>
        <w:ind w:left="1560" w:right="992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•    il soggetto designato dal genitore superstite con testamento, atto pubblico o scrittura privata autenticata.</w:t>
      </w:r>
    </w:p>
    <w:p w:rsidR="00150ABC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br/>
        <w:t xml:space="preserve">Il giudice tutelare, quando ne ravvisa l'opportunità, e nel caso di designazione dell'interessato quando ricorrano gravi motivi, può chiamare all'incarico di amministratore di sostegno anche altra persona idonea 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“estranea” alla parentela  avvalendosi delle capacità professionali dello stesso.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Il beneficiario conserva </w:t>
      </w:r>
      <w:r w:rsidRPr="00150ABC">
        <w:rPr>
          <w:rFonts w:ascii="Nyala" w:eastAsia="Times New Roman" w:hAnsi="Nyala" w:cs="Times New Roman"/>
          <w:b/>
          <w:sz w:val="24"/>
          <w:szCs w:val="24"/>
          <w:lang w:eastAsia="it-IT"/>
        </w:rPr>
        <w:t>la capacità di agire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 per tutti gli atti che non richiedono la rappresentanza esclusiva o l'assistenza necessaria dell'amministratore di sostegno.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Il beneficiario dell'amministrazione di sostegno può in ogni caso compiere gli atti necessari a soddisfare le esigenz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e della propria vita quotidiana, questi generalmente  vengono concordati  con l’</w:t>
      </w:r>
      <w:proofErr w:type="spellStart"/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Ads</w:t>
      </w:r>
      <w:proofErr w:type="spellEnd"/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 xml:space="preserve"> che ne condivide/autorizza  lo svolgimento; si pensi a un budget settimanale/mensili, a delle visite periodiche sanitarie, ecc.  </w:t>
      </w:r>
    </w:p>
    <w:p w:rsidR="008175E9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lastRenderedPageBreak/>
        <w:t xml:space="preserve">Nello svolgimento dei suoi compiti l'amministratore di sostegno deve tener conto dei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 xml:space="preserve">bisogni 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e delle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aspirazioni del beneficiario</w:t>
      </w:r>
      <w:r w:rsidR="008175E9">
        <w:rPr>
          <w:rFonts w:ascii="Nyala" w:eastAsia="Times New Roman" w:hAnsi="Nyala" w:cs="Times New Roman"/>
          <w:sz w:val="24"/>
          <w:szCs w:val="24"/>
          <w:lang w:eastAsia="it-IT"/>
        </w:rPr>
        <w:t>; tale principio  porta tale figura, sin dai primi giorni di attività a spiegare al beneficiario  il ruolo, le funzioni, concordando un percorso condiviso  circa la gestione delle risorse economiche e la tutela del bene/diritto alla salute.</w:t>
      </w:r>
    </w:p>
    <w:p w:rsidR="00B207CE" w:rsidRPr="008D49F0" w:rsidRDefault="008175E9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Se autorizzato , l’ADS  apre  rapporti bancari e postali, vincolati all’ordine del Giudice Tutelare ove far transitare tutte la operazioni della procedura.  </w:t>
      </w:r>
    </w:p>
    <w:p w:rsidR="00B207CE" w:rsidRPr="008D49F0" w:rsidRDefault="00B207CE" w:rsidP="008D49F0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L'amministratore di sostegno deve tempestivamente informare il beneficiario circa </w:t>
      </w:r>
      <w:r w:rsidR="00150ABC">
        <w:rPr>
          <w:rFonts w:ascii="Nyala" w:eastAsia="Times New Roman" w:hAnsi="Nyala" w:cs="Times New Roman"/>
          <w:sz w:val="24"/>
          <w:szCs w:val="24"/>
          <w:lang w:eastAsia="it-IT"/>
        </w:rPr>
        <w:t>gli atti da compiere nonché il Giudice T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utelare in caso di dissenso con il beneficiario stesso</w:t>
      </w:r>
      <w:r w:rsidR="008175E9">
        <w:rPr>
          <w:rFonts w:ascii="Nyala" w:eastAsia="Times New Roman" w:hAnsi="Nyala" w:cs="Times New Roman"/>
          <w:sz w:val="24"/>
          <w:szCs w:val="24"/>
          <w:lang w:eastAsia="it-IT"/>
        </w:rPr>
        <w:t>, spiegando nella maggior parte dei casi, che tale circostanza è dovuta a una fragilità psichica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.</w:t>
      </w:r>
    </w:p>
    <w:p w:rsidR="0024510B" w:rsidRDefault="00B207CE" w:rsidP="0024510B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L'amministratore di sostegno non è tenuto a continuare nello svolgimento dei suoi compiti oltre </w:t>
      </w:r>
      <w:r w:rsidRPr="008D49F0">
        <w:rPr>
          <w:rFonts w:ascii="Nyala" w:eastAsia="Times New Roman" w:hAnsi="Nyala" w:cs="Times New Roman"/>
          <w:b/>
          <w:bCs/>
          <w:sz w:val="24"/>
          <w:szCs w:val="24"/>
          <w:lang w:eastAsia="it-IT"/>
        </w:rPr>
        <w:t>dieci anni</w:t>
      </w:r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 xml:space="preserve">, ad eccezione dei casi in cui tale incarico è rivestito dal coniuge, dalla persona stabilmente convivente, dagli ascendenti o dai </w:t>
      </w:r>
      <w:proofErr w:type="spellStart"/>
      <w:r w:rsidRPr="008D49F0">
        <w:rPr>
          <w:rFonts w:ascii="Nyala" w:eastAsia="Times New Roman" w:hAnsi="Nyala" w:cs="Times New Roman"/>
          <w:sz w:val="24"/>
          <w:szCs w:val="24"/>
          <w:lang w:eastAsia="it-IT"/>
        </w:rPr>
        <w:t>discendenti.</w:t>
      </w:r>
      <w:proofErr w:type="spellEnd"/>
    </w:p>
    <w:p w:rsidR="0024510B" w:rsidRDefault="0024510B" w:rsidP="0024510B">
      <w:pPr>
        <w:spacing w:before="100" w:beforeAutospacing="1" w:after="100" w:afterAutospacing="1" w:line="240" w:lineRule="auto"/>
        <w:ind w:left="709"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>L’ADS è tenuto a presentare rendicontazione secondo la periodicità indicata nel decreto di nomina ; tale relazione deve contenere :</w:t>
      </w:r>
    </w:p>
    <w:p w:rsidR="0024510B" w:rsidRDefault="0024510B" w:rsidP="002451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 w:rsidRPr="0024510B">
        <w:rPr>
          <w:rFonts w:ascii="Nyala" w:eastAsia="Times New Roman" w:hAnsi="Nyala" w:cs="Times New Roman"/>
          <w:sz w:val="24"/>
          <w:szCs w:val="24"/>
          <w:lang w:eastAsia="it-IT"/>
        </w:rPr>
        <w:t xml:space="preserve">atti e fatti salienti che hanno caratterizzato la procedura </w:t>
      </w:r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di </w:t>
      </w:r>
      <w:r w:rsidRPr="0024510B">
        <w:rPr>
          <w:rFonts w:ascii="Nyala" w:eastAsia="Times New Roman" w:hAnsi="Nyala" w:cs="Times New Roman"/>
          <w:sz w:val="24"/>
          <w:szCs w:val="24"/>
          <w:lang w:eastAsia="it-IT"/>
        </w:rPr>
        <w:t xml:space="preserve"> </w:t>
      </w:r>
      <w:proofErr w:type="spellStart"/>
      <w:r w:rsidRPr="0024510B">
        <w:rPr>
          <w:rFonts w:ascii="Nyala" w:eastAsia="Times New Roman" w:hAnsi="Nyala" w:cs="Times New Roman"/>
          <w:sz w:val="24"/>
          <w:szCs w:val="24"/>
          <w:lang w:eastAsia="it-IT"/>
        </w:rPr>
        <w:t>ads</w:t>
      </w:r>
      <w:proofErr w:type="spellEnd"/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circa la tutela del bene salute;</w:t>
      </w:r>
    </w:p>
    <w:p w:rsidR="0024510B" w:rsidRDefault="0024510B" w:rsidP="002451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>atti e fatti salienti che hanno caratterizzato la procedura  circa l’aspetto economico patrimoniale;</w:t>
      </w:r>
    </w:p>
    <w:p w:rsidR="0024510B" w:rsidRDefault="0024510B" w:rsidP="002451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>estratti conto;</w:t>
      </w:r>
    </w:p>
    <w:p w:rsidR="0024510B" w:rsidRDefault="0024510B" w:rsidP="002451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>spiegazione  delle circostanze iniziali e delle risultanze finali conseguenti all’</w:t>
      </w:r>
      <w:proofErr w:type="spellStart"/>
      <w:r>
        <w:rPr>
          <w:rFonts w:ascii="Nyala" w:eastAsia="Times New Roman" w:hAnsi="Nyala" w:cs="Times New Roman"/>
          <w:sz w:val="24"/>
          <w:szCs w:val="24"/>
          <w:lang w:eastAsia="it-IT"/>
        </w:rPr>
        <w:t>ads</w:t>
      </w:r>
      <w:proofErr w:type="spellEnd"/>
      <w:r>
        <w:rPr>
          <w:rFonts w:ascii="Nyala" w:eastAsia="Times New Roman" w:hAnsi="Nyala" w:cs="Times New Roman"/>
          <w:sz w:val="24"/>
          <w:szCs w:val="24"/>
          <w:lang w:eastAsia="it-IT"/>
        </w:rPr>
        <w:t xml:space="preserve">  documentando  quanto espresso.</w:t>
      </w:r>
    </w:p>
    <w:p w:rsidR="0024510B" w:rsidRPr="0024510B" w:rsidRDefault="0024510B" w:rsidP="0024510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right="991"/>
        <w:jc w:val="both"/>
        <w:rPr>
          <w:rFonts w:ascii="Nyala" w:eastAsia="Times New Roman" w:hAnsi="Nyala" w:cs="Times New Roman"/>
          <w:sz w:val="24"/>
          <w:szCs w:val="24"/>
          <w:lang w:eastAsia="it-IT"/>
        </w:rPr>
      </w:pPr>
      <w:r>
        <w:rPr>
          <w:rFonts w:ascii="Nyala" w:eastAsia="Times New Roman" w:hAnsi="Nyala" w:cs="Times New Roman"/>
          <w:sz w:val="24"/>
          <w:szCs w:val="24"/>
          <w:lang w:eastAsia="it-IT"/>
        </w:rPr>
        <w:t>Eventuale richiesta di equo indennizzo.</w:t>
      </w:r>
    </w:p>
    <w:p w:rsidR="00B207CE" w:rsidRDefault="00A94C1F" w:rsidP="00A94C1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60000" cy="3770609"/>
            <wp:effectExtent l="19050" t="0" r="2400" b="0"/>
            <wp:docPr id="44" name="Immagine 44" descr="Today.it - &quot;Il giovane cammina più veloce dell'anziano, ma l'anziano  conosce la strada&quot;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oday.it - &quot;Il giovane cammina più veloce dell'anziano, ma l'anziano  conosce la strada&quot;. | Facebo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7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7CE" w:rsidSect="00876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4C9F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E1541"/>
    <w:multiLevelType w:val="multilevel"/>
    <w:tmpl w:val="21B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1E59"/>
    <w:multiLevelType w:val="multilevel"/>
    <w:tmpl w:val="0AB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1522"/>
    <w:multiLevelType w:val="hybridMultilevel"/>
    <w:tmpl w:val="E68891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E171F"/>
    <w:multiLevelType w:val="multilevel"/>
    <w:tmpl w:val="718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E6CFA"/>
    <w:multiLevelType w:val="multilevel"/>
    <w:tmpl w:val="110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6939"/>
    <w:multiLevelType w:val="multilevel"/>
    <w:tmpl w:val="41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A4C56"/>
    <w:multiLevelType w:val="multilevel"/>
    <w:tmpl w:val="81F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228A8"/>
    <w:multiLevelType w:val="hybridMultilevel"/>
    <w:tmpl w:val="D4A8A9FC"/>
    <w:lvl w:ilvl="0" w:tplc="71DA59F0">
      <w:numFmt w:val="bullet"/>
      <w:lvlText w:val="•"/>
      <w:lvlJc w:val="left"/>
      <w:pPr>
        <w:ind w:left="1099" w:hanging="390"/>
      </w:pPr>
      <w:rPr>
        <w:rFonts w:ascii="Nyala" w:eastAsia="Times New Roman" w:hAnsi="Nyal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6813026"/>
    <w:multiLevelType w:val="hybridMultilevel"/>
    <w:tmpl w:val="BE74DCAE"/>
    <w:lvl w:ilvl="0" w:tplc="A7AE284E">
      <w:start w:val="3"/>
      <w:numFmt w:val="bullet"/>
      <w:lvlText w:val="-"/>
      <w:lvlJc w:val="left"/>
      <w:pPr>
        <w:ind w:left="1069" w:hanging="360"/>
      </w:pPr>
      <w:rPr>
        <w:rFonts w:ascii="Nyala" w:eastAsia="Times New Roman" w:hAnsi="Nyal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207CE"/>
    <w:rsid w:val="00150ABC"/>
    <w:rsid w:val="0024510B"/>
    <w:rsid w:val="002B04A0"/>
    <w:rsid w:val="008175E9"/>
    <w:rsid w:val="008765EC"/>
    <w:rsid w:val="008D49F0"/>
    <w:rsid w:val="00A92968"/>
    <w:rsid w:val="00A94C1F"/>
    <w:rsid w:val="00B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5EC"/>
  </w:style>
  <w:style w:type="paragraph" w:styleId="Titolo1">
    <w:name w:val="heading 1"/>
    <w:basedOn w:val="Normale"/>
    <w:link w:val="Titolo1Carattere"/>
    <w:uiPriority w:val="9"/>
    <w:qFormat/>
    <w:rsid w:val="00B2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0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07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witter-typeahead">
    <w:name w:val="twitter-typeahead"/>
    <w:basedOn w:val="Carpredefinitoparagrafo"/>
    <w:rsid w:val="00B207CE"/>
  </w:style>
  <w:style w:type="character" w:styleId="Collegamentoipertestuale">
    <w:name w:val="Hyperlink"/>
    <w:basedOn w:val="Carpredefinitoparagrafo"/>
    <w:uiPriority w:val="99"/>
    <w:semiHidden/>
    <w:unhideWhenUsed/>
    <w:rsid w:val="00B207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07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C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0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0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20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207C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20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207C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untoelenco">
    <w:name w:val="List Bullet"/>
    <w:basedOn w:val="Normale"/>
    <w:uiPriority w:val="99"/>
    <w:unhideWhenUsed/>
    <w:rsid w:val="00A92968"/>
    <w:pPr>
      <w:numPr>
        <w:numId w:val="7"/>
      </w:numPr>
      <w:contextualSpacing/>
    </w:pPr>
  </w:style>
  <w:style w:type="paragraph" w:styleId="Paragrafoelenco">
    <w:name w:val="List Paragraph"/>
    <w:basedOn w:val="Normale"/>
    <w:uiPriority w:val="34"/>
    <w:qFormat/>
    <w:rsid w:val="00A9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4" w:color="452B1E"/>
                        <w:bottom w:val="none" w:sz="0" w:space="0" w:color="auto"/>
                        <w:right w:val="none" w:sz="0" w:space="0" w:color="auto"/>
                      </w:divBdr>
                    </w:div>
                    <w:div w:id="578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ormattiva.it/uri-res/N2Ls?urn:nir:stato:legge:2004-01-09;6!vig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2</cp:revision>
  <dcterms:created xsi:type="dcterms:W3CDTF">2022-03-10T12:43:00Z</dcterms:created>
  <dcterms:modified xsi:type="dcterms:W3CDTF">2022-03-10T14:14:00Z</dcterms:modified>
</cp:coreProperties>
</file>